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Introdução a Permacultura - Como as Arvores Afetam as Bacias Hidrográficas Tradução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Música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Então, vamos olhar esse mapa de bacias hidrográficas mais uma vez e falar sobre o que acontece quando nos desmatamos a parte de cima da bacia. Mais de 50% de uma arvore e’ feita de água. Então, se você pensar nisso, uma floresta no topo da montanha e’ basicamente um lago de água. Água e’ evaporada e junta-se com a água das nuvens na atmosfera e aquela floresta age como uma esponja gigante, absorvendo a chuva quando a mesma escorre para baixo pela bacia hidrográfica.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Quando nós cortamos a floresta e removemos a esponja, a água não tem mais toda a vegetação com as raízes e solos ricos para desacelerar a água e deixá-la encharcar o solo. A água corre rapidamente e o solo pela bacia hidrográfica.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Então quando removemos a vegetação, nós mudamos a duração que se leva para a água chegar do topo da bacia hidrográfica ate a parte inferior. Onde antes poderia ter tomado um ano para uma gota d'água ir da parte superior a parte inferior do sistema, em uma paisagem degradante talvez apenas leve uma semana, dias, ou horas. Com toda aquela água movendo rapidamente, menos água e’ absorvida, os lençóis freáticos caem, as fontes secam, a vegetação não pode sobreviver e desertificação pode acontecer.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